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5FCE" w14:textId="648B9D3D" w:rsidR="00EB1581" w:rsidRPr="00041E27" w:rsidRDefault="00E77781" w:rsidP="00EB1581">
      <w:pPr>
        <w:tabs>
          <w:tab w:val="left" w:pos="10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Temeljem odredbi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članka 71. st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avak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3. Zakona o pomorskom dobru i morskim lukama (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„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Narodne novine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“, broj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83/23 ) i 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članka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4. Statuta Grada Opuzena („Službeni glasnik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G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rada Opuzena“, broj: 3/13, 2/18, 2/21 i 3/21 -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pročišćeni tekst), 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Gradsko vijeće Grada Opuzena na svojoj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______________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sjednici održanoj dana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________________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2024. godine, donosi</w:t>
      </w:r>
    </w:p>
    <w:p w14:paraId="4FD53801" w14:textId="77777777" w:rsidR="00EB1581" w:rsidRDefault="00EB1581" w:rsidP="00EB1581">
      <w:pPr>
        <w:spacing w:after="0" w:line="240" w:lineRule="auto"/>
        <w:jc w:val="both"/>
      </w:pPr>
    </w:p>
    <w:p w14:paraId="37E7C612" w14:textId="77777777" w:rsidR="00EB1581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1581">
        <w:rPr>
          <w:rFonts w:asciiTheme="majorBidi" w:hAnsiTheme="majorBidi" w:cstheme="majorBidi"/>
          <w:b/>
          <w:bCs/>
          <w:sz w:val="24"/>
          <w:szCs w:val="24"/>
        </w:rPr>
        <w:t>ODLUKU O ODABIRU NAJPOVOLJNIJIH PONUDITELJA ZA DODJELU DOZVOLA NA POMORSKOM DOBRU GRADA OPUZENA</w:t>
      </w:r>
    </w:p>
    <w:p w14:paraId="2C358BCC" w14:textId="242B9B0B" w:rsidR="00E77781" w:rsidRPr="00EB1581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1581">
        <w:rPr>
          <w:rFonts w:asciiTheme="majorBidi" w:hAnsiTheme="majorBidi" w:cstheme="majorBidi"/>
          <w:b/>
          <w:bCs/>
          <w:sz w:val="24"/>
          <w:szCs w:val="24"/>
        </w:rPr>
        <w:t xml:space="preserve"> ZA RAZDOBLJE 2024. – 2028. GODINE</w:t>
      </w:r>
    </w:p>
    <w:p w14:paraId="5E5FBF80" w14:textId="77777777" w:rsidR="00E77781" w:rsidRDefault="00E77781"/>
    <w:p w14:paraId="0705572C" w14:textId="13E5E18A" w:rsidR="00EB1581" w:rsidRPr="005E0386" w:rsidRDefault="00E777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1.</w:t>
      </w:r>
    </w:p>
    <w:p w14:paraId="33B432C9" w14:textId="76ED5576" w:rsidR="003C5DB9" w:rsidRPr="005E0386" w:rsidRDefault="00E77781" w:rsidP="005E0386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Na temelju zaprimljenih ponuda po raspisanom </w:t>
      </w:r>
      <w:r w:rsidR="005E0386">
        <w:rPr>
          <w:rFonts w:asciiTheme="majorBidi" w:hAnsiTheme="majorBidi" w:cstheme="majorBidi"/>
          <w:sz w:val="24"/>
          <w:szCs w:val="24"/>
        </w:rPr>
        <w:t>ponovljen</w:t>
      </w:r>
      <w:r w:rsidRPr="005E0386">
        <w:rPr>
          <w:rFonts w:asciiTheme="majorBidi" w:hAnsiTheme="majorBidi" w:cstheme="majorBidi"/>
          <w:sz w:val="24"/>
          <w:szCs w:val="24"/>
        </w:rPr>
        <w:t xml:space="preserve">om javnom natječaju od dana </w:t>
      </w:r>
      <w:r w:rsidR="00FE5E51">
        <w:rPr>
          <w:rFonts w:asciiTheme="majorBidi" w:hAnsiTheme="majorBidi" w:cstheme="majorBidi"/>
          <w:sz w:val="24"/>
          <w:szCs w:val="24"/>
        </w:rPr>
        <w:t>24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. </w:t>
      </w:r>
      <w:r w:rsidR="00FE5E51">
        <w:rPr>
          <w:rFonts w:asciiTheme="majorBidi" w:hAnsiTheme="majorBidi" w:cstheme="majorBidi"/>
          <w:sz w:val="24"/>
          <w:szCs w:val="24"/>
        </w:rPr>
        <w:t>lipn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ja </w:t>
      </w:r>
      <w:r w:rsidRPr="005E0386">
        <w:rPr>
          <w:rFonts w:asciiTheme="majorBidi" w:hAnsiTheme="majorBidi" w:cstheme="majorBidi"/>
          <w:sz w:val="24"/>
          <w:szCs w:val="24"/>
        </w:rPr>
        <w:t>2024. godine utvrđuju se najpovoljniji ponuditelji za dodjelu dozvola za obavljanje djelatnosti na pomorskom dobru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Grada Opuzena</w:t>
      </w:r>
      <w:r w:rsidRPr="005E0386">
        <w:rPr>
          <w:rFonts w:asciiTheme="majorBidi" w:hAnsiTheme="majorBidi" w:cstheme="majorBidi"/>
          <w:sz w:val="24"/>
          <w:szCs w:val="24"/>
        </w:rPr>
        <w:t>, kako slijedi:</w:t>
      </w:r>
    </w:p>
    <w:p w14:paraId="3C92CB68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p w14:paraId="66921D2A" w14:textId="77777777" w:rsidR="005C7C9F" w:rsidRDefault="005C7C9F" w:rsidP="005C7C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EC3">
        <w:rPr>
          <w:rFonts w:ascii="Times New Roman" w:hAnsi="Times New Roman" w:cs="Times New Roman"/>
          <w:b/>
          <w:bCs/>
          <w:sz w:val="24"/>
          <w:szCs w:val="24"/>
        </w:rPr>
        <w:t>BELONIFORMES ASPT d.o.o.</w:t>
      </w:r>
      <w:r>
        <w:rPr>
          <w:rFonts w:ascii="Times New Roman" w:hAnsi="Times New Roman" w:cs="Times New Roman"/>
          <w:sz w:val="24"/>
          <w:szCs w:val="24"/>
        </w:rPr>
        <w:t xml:space="preserve"> – Iznajmljivanje opreme za rekreaciju i sport, vl. Tomislav Sumić, Ribarska 13, 22 212 Tribunj, OIB: 06353938903</w:t>
      </w:r>
    </w:p>
    <w:p w14:paraId="0E75B093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5C7C9F" w14:paraId="76C56AA3" w14:textId="77777777" w:rsidTr="00073DA3">
        <w:trPr>
          <w:trHeight w:val="493"/>
        </w:trPr>
        <w:tc>
          <w:tcPr>
            <w:tcW w:w="1879" w:type="dxa"/>
          </w:tcPr>
          <w:p w14:paraId="5403A27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2A7D59E5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25EE80C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</w:p>
          <w:p w14:paraId="49CF4349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DOZVOLA</w:t>
            </w:r>
          </w:p>
        </w:tc>
        <w:tc>
          <w:tcPr>
            <w:tcW w:w="1413" w:type="dxa"/>
          </w:tcPr>
          <w:p w14:paraId="2F551E10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6F6F1DC8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14D676E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029CF98E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5B1E6A71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38E65130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5C7C9F" w14:paraId="06AAD48A" w14:textId="77777777" w:rsidTr="00073DA3">
        <w:trPr>
          <w:trHeight w:val="331"/>
        </w:trPr>
        <w:tc>
          <w:tcPr>
            <w:tcW w:w="1879" w:type="dxa"/>
          </w:tcPr>
          <w:p w14:paraId="5173BDD7" w14:textId="1F627775" w:rsidR="005C7C9F" w:rsidRPr="004B4577" w:rsidRDefault="000C56D1" w:rsidP="00073DA3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Kiosk</w:t>
            </w:r>
          </w:p>
        </w:tc>
        <w:tc>
          <w:tcPr>
            <w:tcW w:w="1388" w:type="dxa"/>
          </w:tcPr>
          <w:p w14:paraId="6046BAD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147BC7B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B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6BA994FD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63C5A21F" w14:textId="77777777" w:rsidR="005C7C9F" w:rsidRPr="002D36BD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2FE974FA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2A395C02" w14:textId="003B1841" w:rsidR="005C7C9F" w:rsidRPr="00650937" w:rsidRDefault="000C56D1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2.20</w:t>
            </w:r>
            <w:r w:rsidR="005C7C9F"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0,00 eura </w:t>
            </w:r>
          </w:p>
        </w:tc>
        <w:tc>
          <w:tcPr>
            <w:tcW w:w="1251" w:type="dxa"/>
          </w:tcPr>
          <w:p w14:paraId="758B939D" w14:textId="17DD1F60" w:rsidR="005C7C9F" w:rsidRPr="00650937" w:rsidRDefault="000C56D1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220</w:t>
            </w:r>
            <w:r w:rsidR="005C7C9F"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,00 eura </w:t>
            </w:r>
          </w:p>
        </w:tc>
      </w:tr>
    </w:tbl>
    <w:p w14:paraId="60B577EC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p w14:paraId="1272B169" w14:textId="3FCD8D81" w:rsidR="00FE5E51" w:rsidRDefault="000C56D1" w:rsidP="00FE5E5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FLOW, obrt za turizam i trgovimu</w:t>
      </w:r>
      <w:r w:rsidR="00FE5E51">
        <w:rPr>
          <w:rFonts w:ascii="Times New Roman" w:hAnsi="Times New Roman" w:cs="Times New Roman"/>
          <w:sz w:val="24"/>
          <w:szCs w:val="24"/>
        </w:rPr>
        <w:t xml:space="preserve"> – Iznajmljivanje opreme za rekreaciju i sport, vl. </w:t>
      </w:r>
      <w:r>
        <w:rPr>
          <w:rFonts w:ascii="Times New Roman" w:hAnsi="Times New Roman" w:cs="Times New Roman"/>
          <w:sz w:val="24"/>
          <w:szCs w:val="24"/>
        </w:rPr>
        <w:t>Beata Đelmić</w:t>
      </w:r>
      <w:r w:rsidR="00FE5E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Pržinovac 21</w:t>
      </w:r>
      <w:r w:rsidR="00FE5E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20 355</w:t>
      </w:r>
      <w:r w:rsidR="00FE5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Opuzen</w:t>
      </w:r>
      <w:r w:rsidR="00FE5E51">
        <w:rPr>
          <w:rFonts w:ascii="Times New Roman" w:hAnsi="Times New Roman" w:cs="Times New Roman"/>
          <w:sz w:val="24"/>
          <w:szCs w:val="24"/>
        </w:rPr>
        <w:t>, OIB: 0</w:t>
      </w:r>
      <w:r>
        <w:rPr>
          <w:rFonts w:ascii="Times New Roman" w:hAnsi="Times New Roman" w:cs="Times New Roman"/>
          <w:sz w:val="24"/>
          <w:szCs w:val="24"/>
        </w:rPr>
        <w:t>0973251322</w:t>
      </w:r>
    </w:p>
    <w:p w14:paraId="550CC40A" w14:textId="77777777" w:rsidR="00FE5E51" w:rsidRDefault="00FE5E51" w:rsidP="00FE5E5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FE5E51" w14:paraId="25DA9268" w14:textId="77777777" w:rsidTr="005B3199">
        <w:trPr>
          <w:trHeight w:val="493"/>
        </w:trPr>
        <w:tc>
          <w:tcPr>
            <w:tcW w:w="1879" w:type="dxa"/>
          </w:tcPr>
          <w:p w14:paraId="65C984A1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7EF1FBE3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245926C8" w14:textId="77777777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</w:p>
          <w:p w14:paraId="0B318F1E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DOZVOLA</w:t>
            </w:r>
          </w:p>
        </w:tc>
        <w:tc>
          <w:tcPr>
            <w:tcW w:w="1413" w:type="dxa"/>
          </w:tcPr>
          <w:p w14:paraId="074C17D1" w14:textId="77777777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0D3A5CF5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130CE70B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710841C6" w14:textId="77777777" w:rsidR="00FE5E51" w:rsidRPr="003F2C25" w:rsidRDefault="00FE5E51" w:rsidP="005B3199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64D02C48" w14:textId="77777777" w:rsidR="00FE5E51" w:rsidRPr="003F2C25" w:rsidRDefault="00FE5E51" w:rsidP="005B3199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213FC0F7" w14:textId="77777777" w:rsidR="00FE5E51" w:rsidRDefault="00FE5E5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FE5E51" w14:paraId="1200A408" w14:textId="77777777" w:rsidTr="005B3199">
        <w:trPr>
          <w:trHeight w:val="331"/>
        </w:trPr>
        <w:tc>
          <w:tcPr>
            <w:tcW w:w="1879" w:type="dxa"/>
          </w:tcPr>
          <w:p w14:paraId="02ACB3E2" w14:textId="6C21E7AD" w:rsidR="00FE5E51" w:rsidRPr="004B4577" w:rsidRDefault="000C56D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Oprema za jedrenja na dasci(daska i jedro)</w:t>
            </w:r>
          </w:p>
        </w:tc>
        <w:tc>
          <w:tcPr>
            <w:tcW w:w="1388" w:type="dxa"/>
          </w:tcPr>
          <w:p w14:paraId="367D9B0D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0BB2132D" w14:textId="01C49383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 w:rsidR="000C56D1">
              <w:rPr>
                <w:rFonts w:ascii="Times New Roman" w:hAnsi="Times New Roman"/>
              </w:rPr>
              <w:t>E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49965A79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2819A57B" w14:textId="4B7C81DD" w:rsidR="00FE5E51" w:rsidRDefault="000C56D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9" w:type="dxa"/>
          </w:tcPr>
          <w:p w14:paraId="7AEE2B22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1DF9B42F" w14:textId="43F26D99" w:rsidR="00FE5E51" w:rsidRPr="00650937" w:rsidRDefault="000C56D1" w:rsidP="005B3199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840,00</w:t>
            </w:r>
            <w:r w:rsidR="00FE5E51" w:rsidRPr="00E26CE1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 EUR</w:t>
            </w:r>
          </w:p>
        </w:tc>
        <w:tc>
          <w:tcPr>
            <w:tcW w:w="1251" w:type="dxa"/>
          </w:tcPr>
          <w:p w14:paraId="0F823A3B" w14:textId="7D0AA731" w:rsidR="00FE5E51" w:rsidRPr="00650937" w:rsidRDefault="000C56D1" w:rsidP="005B3199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84,00</w:t>
            </w:r>
            <w:r w:rsidR="00FE5E51" w:rsidRPr="005B3B21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 EUR </w:t>
            </w:r>
          </w:p>
        </w:tc>
      </w:tr>
    </w:tbl>
    <w:p w14:paraId="3DA17C08" w14:textId="77777777" w:rsidR="00FE5E51" w:rsidRDefault="00FE5E51" w:rsidP="00FE5E51">
      <w:pPr>
        <w:rPr>
          <w:rFonts w:ascii="Times New Roman" w:hAnsi="Times New Roman" w:cs="Times New Roman"/>
          <w:sz w:val="24"/>
          <w:szCs w:val="24"/>
        </w:rPr>
      </w:pPr>
    </w:p>
    <w:p w14:paraId="7720106D" w14:textId="77777777" w:rsidR="00FE5E51" w:rsidRDefault="00FE5E51" w:rsidP="00FE5E51">
      <w:pPr>
        <w:rPr>
          <w:rFonts w:ascii="Times New Roman" w:hAnsi="Times New Roman"/>
          <w:sz w:val="24"/>
        </w:rPr>
      </w:pPr>
    </w:p>
    <w:p w14:paraId="14802E0A" w14:textId="7EF346B4" w:rsidR="00FE5E51" w:rsidRDefault="000526E8" w:rsidP="00FE5E5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 OUT 2024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vl. Veselka Živkušić, Trg fra Ante Gnječa 5, 20345 Staševica </w:t>
      </w:r>
      <w:r w:rsidR="00FE5E51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63057780398</w:t>
      </w:r>
    </w:p>
    <w:p w14:paraId="1472F268" w14:textId="77777777" w:rsidR="00FE5E51" w:rsidRDefault="00FE5E51" w:rsidP="00FE5E5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FE5E51" w14:paraId="64BFAC46" w14:textId="77777777" w:rsidTr="005B3199">
        <w:trPr>
          <w:trHeight w:val="493"/>
        </w:trPr>
        <w:tc>
          <w:tcPr>
            <w:tcW w:w="1879" w:type="dxa"/>
          </w:tcPr>
          <w:p w14:paraId="18CA2FD0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1F99029A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4C057EB9" w14:textId="77777777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</w:p>
          <w:p w14:paraId="09DB6291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DOZVOLA</w:t>
            </w:r>
          </w:p>
        </w:tc>
        <w:tc>
          <w:tcPr>
            <w:tcW w:w="1413" w:type="dxa"/>
          </w:tcPr>
          <w:p w14:paraId="4061029B" w14:textId="77777777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64ADDB68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7CC72295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7E86AD5B" w14:textId="77777777" w:rsidR="00FE5E51" w:rsidRPr="003F2C25" w:rsidRDefault="00FE5E51" w:rsidP="005B3199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0FB56663" w14:textId="77777777" w:rsidR="00FE5E51" w:rsidRPr="003F2C25" w:rsidRDefault="00FE5E51" w:rsidP="005B3199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3D258DDA" w14:textId="77777777" w:rsidR="00FE5E51" w:rsidRDefault="00FE5E5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FE5E51" w14:paraId="204F73AC" w14:textId="77777777" w:rsidTr="005B3199">
        <w:trPr>
          <w:trHeight w:val="331"/>
        </w:trPr>
        <w:tc>
          <w:tcPr>
            <w:tcW w:w="1879" w:type="dxa"/>
          </w:tcPr>
          <w:p w14:paraId="2840EF98" w14:textId="66A9691D" w:rsidR="00FE5E51" w:rsidRPr="004B4577" w:rsidRDefault="000C56D1" w:rsidP="005B319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Pokretno vozilo</w:t>
            </w:r>
          </w:p>
        </w:tc>
        <w:tc>
          <w:tcPr>
            <w:tcW w:w="1388" w:type="dxa"/>
          </w:tcPr>
          <w:p w14:paraId="5E345EDA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1A27B9B9" w14:textId="12A93D61" w:rsidR="00FE5E51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Plaža Ušće </w:t>
            </w:r>
            <w:r w:rsidR="000C56D1">
              <w:rPr>
                <w:rFonts w:ascii="Times New Roman" w:hAnsi="Times New Roman"/>
              </w:rPr>
              <w:t>(G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010CB099" w14:textId="77777777" w:rsidR="00FE5E51" w:rsidRPr="004B4577" w:rsidRDefault="00FE5E51" w:rsidP="005B3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5EDF8E82" w14:textId="77777777" w:rsidR="00FE5E51" w:rsidRPr="002D36BD" w:rsidRDefault="00FE5E51" w:rsidP="005B3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416B0285" w14:textId="77777777" w:rsidR="00FE5E51" w:rsidRPr="004B4577" w:rsidRDefault="00FE5E51" w:rsidP="005B3199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414C7FD5" w14:textId="77777777" w:rsidR="00FE5E51" w:rsidRPr="00650937" w:rsidRDefault="00FE5E51" w:rsidP="005B3199">
            <w:pPr>
              <w:rPr>
                <w:rFonts w:ascii="Times New Roman" w:hAnsi="Times New Roman"/>
              </w:rPr>
            </w:pPr>
            <w:r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660,00 eura </w:t>
            </w:r>
          </w:p>
        </w:tc>
        <w:tc>
          <w:tcPr>
            <w:tcW w:w="1251" w:type="dxa"/>
          </w:tcPr>
          <w:p w14:paraId="2ED0EE37" w14:textId="77777777" w:rsidR="00FE5E51" w:rsidRPr="00650937" w:rsidRDefault="00FE5E51" w:rsidP="005B3199">
            <w:pPr>
              <w:rPr>
                <w:rFonts w:ascii="Times New Roman" w:hAnsi="Times New Roman"/>
              </w:rPr>
            </w:pPr>
            <w:r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66,00 eura </w:t>
            </w:r>
          </w:p>
        </w:tc>
      </w:tr>
    </w:tbl>
    <w:p w14:paraId="029274D4" w14:textId="77777777" w:rsidR="00FE5E51" w:rsidRDefault="00FE5E51" w:rsidP="00FE5E51">
      <w:pPr>
        <w:rPr>
          <w:rFonts w:ascii="Times New Roman" w:hAnsi="Times New Roman" w:cs="Times New Roman"/>
          <w:sz w:val="24"/>
          <w:szCs w:val="24"/>
        </w:rPr>
      </w:pPr>
    </w:p>
    <w:p w14:paraId="743D2FA7" w14:textId="77777777" w:rsidR="005C7C9F" w:rsidRDefault="005C7C9F" w:rsidP="005C7C9F">
      <w:pPr>
        <w:rPr>
          <w:rFonts w:ascii="Times New Roman" w:hAnsi="Times New Roman"/>
          <w:sz w:val="24"/>
        </w:rPr>
      </w:pPr>
    </w:p>
    <w:p w14:paraId="31443A96" w14:textId="4C3D4DF4" w:rsidR="005C7C9F" w:rsidRPr="00B13BCB" w:rsidRDefault="005C7C9F" w:rsidP="000C56D1">
      <w:pPr>
        <w:tabs>
          <w:tab w:val="left" w:pos="3420"/>
          <w:tab w:val="left" w:pos="6495"/>
        </w:tabs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Hlk167269391"/>
      <w:r>
        <w:rPr>
          <w:rFonts w:ascii="Times New Roman" w:hAnsi="Times New Roman"/>
          <w:sz w:val="24"/>
          <w:szCs w:val="24"/>
          <w:lang w:val="de-DE"/>
        </w:rPr>
        <w:t xml:space="preserve">Temeljem prispjelih ponuda Povjerenstvo je utvrdilo kako su naprijed navedene ponude pristigle od rednog broja 1. zaključno s rednim brojem </w:t>
      </w:r>
      <w:r w:rsidR="000C56D1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0C56D1">
        <w:rPr>
          <w:rFonts w:ascii="Times New Roman" w:hAnsi="Times New Roman"/>
          <w:sz w:val="24"/>
          <w:szCs w:val="24"/>
          <w:lang w:val="de-DE"/>
        </w:rPr>
        <w:t xml:space="preserve">pravovremene i </w:t>
      </w:r>
      <w:r>
        <w:rPr>
          <w:rFonts w:ascii="Times New Roman" w:hAnsi="Times New Roman"/>
          <w:sz w:val="24"/>
          <w:szCs w:val="24"/>
          <w:lang w:val="de-DE"/>
        </w:rPr>
        <w:t>potpune te sadrže potrebnu dokumetaciju i podatke određene javnim natječajem</w:t>
      </w:r>
      <w:r w:rsidR="00B13BCB">
        <w:rPr>
          <w:rFonts w:ascii="Times New Roman" w:hAnsi="Times New Roman"/>
          <w:sz w:val="24"/>
          <w:szCs w:val="24"/>
          <w:lang w:val="de-DE"/>
        </w:rPr>
        <w:t xml:space="preserve">, </w:t>
      </w:r>
    </w:p>
    <w:bookmarkEnd w:id="0"/>
    <w:p w14:paraId="22A0BD30" w14:textId="77777777" w:rsid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2.</w:t>
      </w:r>
    </w:p>
    <w:p w14:paraId="66BB0CF9" w14:textId="213E1EE7" w:rsidR="005E0386" w:rsidRDefault="00EB1581" w:rsidP="00E6096B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 Na temelju ove Odluke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 Grada Opuzena</w:t>
      </w:r>
      <w:r w:rsidRPr="005E0386">
        <w:rPr>
          <w:rFonts w:asciiTheme="majorBidi" w:hAnsiTheme="majorBidi" w:cstheme="majorBidi"/>
          <w:sz w:val="24"/>
          <w:szCs w:val="24"/>
        </w:rPr>
        <w:t xml:space="preserve"> donijeti će Rješenje o davanju dozvola za obavljanje djelatnosti na pomorskom dobru.</w:t>
      </w:r>
    </w:p>
    <w:p w14:paraId="43237AAA" w14:textId="77777777" w:rsidR="005E0386" w:rsidRPr="005E0386" w:rsidRDefault="005E0386">
      <w:pPr>
        <w:rPr>
          <w:rFonts w:asciiTheme="majorBidi" w:hAnsiTheme="majorBidi" w:cstheme="majorBidi"/>
          <w:sz w:val="24"/>
          <w:szCs w:val="24"/>
        </w:rPr>
      </w:pPr>
    </w:p>
    <w:p w14:paraId="2A31B3CE" w14:textId="4FCBB39C" w:rsidR="005E0386" w:rsidRP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3.</w:t>
      </w:r>
    </w:p>
    <w:p w14:paraId="23C17DB9" w14:textId="21CAAE4B" w:rsidR="005E0386" w:rsidRPr="005E0386" w:rsidRDefault="00EB1581">
      <w:pPr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 Ova Odluka objaviti će se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u </w:t>
      </w:r>
      <w:r w:rsidRPr="005E0386">
        <w:rPr>
          <w:rFonts w:asciiTheme="majorBidi" w:hAnsiTheme="majorBidi" w:cstheme="majorBidi"/>
          <w:sz w:val="24"/>
          <w:szCs w:val="24"/>
        </w:rPr>
        <w:t xml:space="preserve">Službenom glasniku </w:t>
      </w:r>
      <w:r w:rsidR="005E0386" w:rsidRPr="005E0386">
        <w:rPr>
          <w:rFonts w:asciiTheme="majorBidi" w:hAnsiTheme="majorBidi" w:cstheme="majorBidi"/>
          <w:sz w:val="24"/>
          <w:szCs w:val="24"/>
        </w:rPr>
        <w:t>Grada Opuzena.</w:t>
      </w:r>
    </w:p>
    <w:p w14:paraId="7DD81C30" w14:textId="77777777" w:rsidR="005C7C9F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22EF653" w14:textId="77777777" w:rsidR="005C7C9F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21B2C4E" w14:textId="66BE6B80" w:rsidR="005E0386" w:rsidRP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Obrazloženje</w:t>
      </w:r>
    </w:p>
    <w:p w14:paraId="18C2F39B" w14:textId="77777777" w:rsidR="005E0386" w:rsidRDefault="005E0386"/>
    <w:p w14:paraId="328A8E65" w14:textId="160DF48F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Sukladno članku 71. stavku 1. Zakona o pomorskom dobru i morskim lukama (Narodne novine broj 83/23) (u daljnjem tekstu: Zakon) na temelju Plana upravljanja pomorskim dobrom na području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Grada Opuzena </w:t>
      </w:r>
      <w:r w:rsidRPr="005E0386">
        <w:rPr>
          <w:rFonts w:asciiTheme="majorBidi" w:hAnsiTheme="majorBidi" w:cstheme="majorBidi"/>
          <w:sz w:val="24"/>
          <w:szCs w:val="24"/>
        </w:rPr>
        <w:t xml:space="preserve"> za razdoblje 2024.-2028. godine objavljen je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15. ožujka 2024. godine </w:t>
      </w:r>
      <w:r w:rsidRPr="005E0386">
        <w:rPr>
          <w:rFonts w:asciiTheme="majorBidi" w:hAnsiTheme="majorBidi" w:cstheme="majorBidi"/>
          <w:sz w:val="24"/>
          <w:szCs w:val="24"/>
        </w:rPr>
        <w:t>javni natječaj za dodjelu dozvola na pomorsk</w:t>
      </w:r>
      <w:r w:rsidR="005C7C9F">
        <w:rPr>
          <w:rFonts w:asciiTheme="majorBidi" w:hAnsiTheme="majorBidi" w:cstheme="majorBidi"/>
          <w:sz w:val="24"/>
          <w:szCs w:val="24"/>
        </w:rPr>
        <w:t>o</w:t>
      </w:r>
      <w:r w:rsidRPr="005E0386">
        <w:rPr>
          <w:rFonts w:asciiTheme="majorBidi" w:hAnsiTheme="majorBidi" w:cstheme="majorBidi"/>
          <w:sz w:val="24"/>
          <w:szCs w:val="24"/>
        </w:rPr>
        <w:t>m dobr</w:t>
      </w:r>
      <w:r w:rsidR="005C7C9F">
        <w:rPr>
          <w:rFonts w:asciiTheme="majorBidi" w:hAnsiTheme="majorBidi" w:cstheme="majorBidi"/>
          <w:sz w:val="24"/>
          <w:szCs w:val="24"/>
        </w:rPr>
        <w:t>u</w:t>
      </w:r>
      <w:r w:rsidRPr="005E0386">
        <w:rPr>
          <w:rFonts w:asciiTheme="majorBidi" w:hAnsiTheme="majorBidi" w:cstheme="majorBidi"/>
          <w:sz w:val="24"/>
          <w:szCs w:val="24"/>
        </w:rPr>
        <w:t xml:space="preserve">. </w:t>
      </w:r>
    </w:p>
    <w:p w14:paraId="52F9E0D4" w14:textId="77777777" w:rsid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U propisanom roku </w:t>
      </w:r>
      <w:r w:rsidR="005E0386">
        <w:rPr>
          <w:rFonts w:asciiTheme="majorBidi" w:hAnsiTheme="majorBidi" w:cstheme="majorBidi"/>
          <w:sz w:val="24"/>
          <w:szCs w:val="24"/>
        </w:rPr>
        <w:t xml:space="preserve">nije </w:t>
      </w:r>
      <w:r w:rsidRPr="005E0386">
        <w:rPr>
          <w:rFonts w:asciiTheme="majorBidi" w:hAnsiTheme="majorBidi" w:cstheme="majorBidi"/>
          <w:sz w:val="24"/>
          <w:szCs w:val="24"/>
        </w:rPr>
        <w:t>pristigl</w:t>
      </w:r>
      <w:r w:rsidR="005E0386">
        <w:rPr>
          <w:rFonts w:asciiTheme="majorBidi" w:hAnsiTheme="majorBidi" w:cstheme="majorBidi"/>
          <w:sz w:val="24"/>
          <w:szCs w:val="24"/>
        </w:rPr>
        <w:t>a nijedna ponuda.</w:t>
      </w:r>
    </w:p>
    <w:p w14:paraId="0DEB7FFD" w14:textId="0D524FAD" w:rsidR="005C7C9F" w:rsidRDefault="005E0386" w:rsidP="005C7C9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Ponovljeni</w:t>
      </w:r>
      <w:r w:rsidR="005C7C9F" w:rsidRPr="005C7C9F">
        <w:rPr>
          <w:rFonts w:asciiTheme="majorBidi" w:hAnsiTheme="majorBidi" w:cstheme="majorBidi"/>
          <w:sz w:val="24"/>
          <w:szCs w:val="24"/>
        </w:rPr>
        <w:t xml:space="preserve"> </w:t>
      </w:r>
      <w:r w:rsidR="005C7C9F" w:rsidRPr="005E0386">
        <w:rPr>
          <w:rFonts w:asciiTheme="majorBidi" w:hAnsiTheme="majorBidi" w:cstheme="majorBidi"/>
          <w:sz w:val="24"/>
          <w:szCs w:val="24"/>
        </w:rPr>
        <w:t>javni natječaj za dodjelu dozvola na pomorskim dobrom</w:t>
      </w:r>
      <w:r w:rsidR="005C7C9F">
        <w:rPr>
          <w:rFonts w:asciiTheme="majorBidi" w:hAnsiTheme="majorBidi" w:cstheme="majorBidi"/>
          <w:sz w:val="24"/>
          <w:szCs w:val="24"/>
        </w:rPr>
        <w:t xml:space="preserve"> objavljen je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E0386">
        <w:rPr>
          <w:rFonts w:asciiTheme="majorBidi" w:hAnsiTheme="majorBidi" w:cstheme="majorBidi"/>
          <w:sz w:val="24"/>
          <w:szCs w:val="24"/>
        </w:rPr>
        <w:t>9. travnja 2024. godine</w:t>
      </w:r>
      <w:r w:rsidR="000C56D1">
        <w:rPr>
          <w:rFonts w:asciiTheme="majorBidi" w:hAnsiTheme="majorBidi" w:cstheme="majorBidi"/>
          <w:sz w:val="24"/>
          <w:szCs w:val="24"/>
        </w:rPr>
        <w:t>, te je temel</w:t>
      </w:r>
      <w:r w:rsidR="00116CCC">
        <w:rPr>
          <w:rFonts w:asciiTheme="majorBidi" w:hAnsiTheme="majorBidi" w:cstheme="majorBidi"/>
          <w:sz w:val="24"/>
          <w:szCs w:val="24"/>
        </w:rPr>
        <w:t xml:space="preserve"> </w:t>
      </w:r>
      <w:r w:rsidR="000C56D1">
        <w:rPr>
          <w:rFonts w:asciiTheme="majorBidi" w:hAnsiTheme="majorBidi" w:cstheme="majorBidi"/>
          <w:sz w:val="24"/>
          <w:szCs w:val="24"/>
        </w:rPr>
        <w:t>jem istog Gradsko vijeće Grada Opuzena donijelo Odluku na sjednici dana 11. lipnja 2024.</w:t>
      </w:r>
    </w:p>
    <w:p w14:paraId="56DE7B0A" w14:textId="77777777" w:rsidR="005C7C9F" w:rsidRDefault="005C7C9F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U propisanom roku </w:t>
      </w:r>
      <w:r>
        <w:rPr>
          <w:rFonts w:asciiTheme="majorBidi" w:hAnsiTheme="majorBidi" w:cstheme="majorBidi"/>
          <w:sz w:val="24"/>
          <w:szCs w:val="24"/>
        </w:rPr>
        <w:t>je pristiglo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ponuda. </w:t>
      </w:r>
      <w:r>
        <w:rPr>
          <w:rFonts w:asciiTheme="majorBidi" w:hAnsiTheme="majorBidi" w:cstheme="majorBidi"/>
          <w:sz w:val="24"/>
          <w:szCs w:val="24"/>
        </w:rPr>
        <w:t>O</w:t>
      </w:r>
      <w:r w:rsidR="00EB1581" w:rsidRPr="005E0386">
        <w:rPr>
          <w:rFonts w:asciiTheme="majorBidi" w:hAnsiTheme="majorBidi" w:cstheme="majorBidi"/>
          <w:sz w:val="24"/>
          <w:szCs w:val="24"/>
        </w:rPr>
        <w:t>tvaranje ponuda</w:t>
      </w:r>
      <w:r>
        <w:rPr>
          <w:rFonts w:asciiTheme="majorBidi" w:hAnsiTheme="majorBidi" w:cstheme="majorBidi"/>
          <w:sz w:val="24"/>
          <w:szCs w:val="24"/>
        </w:rPr>
        <w:t>, te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</w:t>
      </w:r>
      <w:r w:rsidRPr="005E0386">
        <w:rPr>
          <w:rFonts w:asciiTheme="majorBidi" w:hAnsiTheme="majorBidi" w:cstheme="majorBidi"/>
          <w:sz w:val="24"/>
          <w:szCs w:val="24"/>
        </w:rPr>
        <w:t xml:space="preserve">analiza i ocjenjivanje 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održano je dana </w:t>
      </w:r>
      <w:r>
        <w:rPr>
          <w:rFonts w:asciiTheme="majorBidi" w:hAnsiTheme="majorBidi" w:cstheme="majorBidi"/>
          <w:sz w:val="24"/>
          <w:szCs w:val="24"/>
        </w:rPr>
        <w:t>2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6. </w:t>
      </w:r>
      <w:r>
        <w:rPr>
          <w:rFonts w:asciiTheme="majorBidi" w:hAnsiTheme="majorBidi" w:cstheme="majorBidi"/>
          <w:sz w:val="24"/>
          <w:szCs w:val="24"/>
        </w:rPr>
        <w:t>travnj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a 2024. godine, od strane Povjerenstva za provedbu natječaja. </w:t>
      </w:r>
    </w:p>
    <w:p w14:paraId="1405DE6D" w14:textId="77777777" w:rsidR="000C56D1" w:rsidRDefault="000C56D1" w:rsidP="000C56D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032AAE1" w14:textId="1A73ECBD" w:rsidR="000C56D1" w:rsidRDefault="000C56D1" w:rsidP="000C56D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Još jedan p</w:t>
      </w:r>
      <w:r>
        <w:rPr>
          <w:rFonts w:asciiTheme="majorBidi" w:hAnsiTheme="majorBidi" w:cstheme="majorBidi"/>
          <w:sz w:val="24"/>
          <w:szCs w:val="24"/>
        </w:rPr>
        <w:t>onovljeni</w:t>
      </w:r>
      <w:r w:rsidRPr="005C7C9F">
        <w:rPr>
          <w:rFonts w:asciiTheme="majorBidi" w:hAnsiTheme="majorBidi" w:cstheme="majorBidi"/>
          <w:sz w:val="24"/>
          <w:szCs w:val="24"/>
        </w:rPr>
        <w:t xml:space="preserve"> </w:t>
      </w:r>
      <w:r w:rsidRPr="005E0386">
        <w:rPr>
          <w:rFonts w:asciiTheme="majorBidi" w:hAnsiTheme="majorBidi" w:cstheme="majorBidi"/>
          <w:sz w:val="24"/>
          <w:szCs w:val="24"/>
        </w:rPr>
        <w:t>javni natječaj za dodjelu dozvola na pomorskim dobrom</w:t>
      </w:r>
      <w:r>
        <w:rPr>
          <w:rFonts w:asciiTheme="majorBidi" w:hAnsiTheme="majorBidi" w:cstheme="majorBidi"/>
          <w:sz w:val="24"/>
          <w:szCs w:val="24"/>
        </w:rPr>
        <w:t xml:space="preserve"> objavljen je </w:t>
      </w:r>
      <w:r>
        <w:rPr>
          <w:rFonts w:asciiTheme="majorBidi" w:hAnsiTheme="majorBidi" w:cstheme="majorBidi"/>
          <w:sz w:val="24"/>
          <w:szCs w:val="24"/>
        </w:rPr>
        <w:t>24</w:t>
      </w:r>
      <w:r w:rsidRPr="005E0386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lip</w:t>
      </w:r>
      <w:r w:rsidRPr="005E0386">
        <w:rPr>
          <w:rFonts w:asciiTheme="majorBidi" w:hAnsiTheme="majorBidi" w:cstheme="majorBidi"/>
          <w:sz w:val="24"/>
          <w:szCs w:val="24"/>
        </w:rPr>
        <w:t>nja 2024. godine</w:t>
      </w:r>
    </w:p>
    <w:p w14:paraId="630EB268" w14:textId="377677CB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Ponude su se ocjenjivale prema kriterijima: ponuđeni iznos naknade za dozvolu na pomorskom dobru, prethodno iskustvo i dobro i odgovorno obavljanje djelatnosti odnosno korištenja pomorskog dobra, upotreba opreme i pratećih instalacija i pružanje usluga koje su korisne za okoliš, vremensko razdoblje obavljanja djelatnosti temeljem dozvole. Nakon provedenog postupka , na temelju zaprimljenih ponuda po raspisanim javnim natječajima, analizi i ocjenjivanju prispjelih ponuda od strane Povjerenstva za provedbu javnog natječaja zapisnički su se utvrdili najpovoljniji ponuditelji za dodjelu dozvola na pomorskom dobru. </w:t>
      </w:r>
    </w:p>
    <w:p w14:paraId="0D908967" w14:textId="77777777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>Sukladno zakonskim propisima i Zapisnik</w:t>
      </w:r>
      <w:r w:rsidR="005E0386" w:rsidRPr="005E0386">
        <w:rPr>
          <w:rFonts w:asciiTheme="majorBidi" w:hAnsiTheme="majorBidi" w:cstheme="majorBidi"/>
          <w:sz w:val="24"/>
          <w:szCs w:val="24"/>
        </w:rPr>
        <w:t>u</w:t>
      </w:r>
      <w:r w:rsidRPr="005E0386">
        <w:rPr>
          <w:rFonts w:asciiTheme="majorBidi" w:hAnsiTheme="majorBidi" w:cstheme="majorBidi"/>
          <w:sz w:val="24"/>
          <w:szCs w:val="24"/>
        </w:rPr>
        <w:t xml:space="preserve"> Povjerenstva o analizi i ocjeni ponuda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 je do</w:t>
      </w:r>
      <w:r w:rsidRPr="005E0386">
        <w:rPr>
          <w:rFonts w:asciiTheme="majorBidi" w:hAnsiTheme="majorBidi" w:cstheme="majorBidi"/>
          <w:sz w:val="24"/>
          <w:szCs w:val="24"/>
        </w:rPr>
        <w:t xml:space="preserve">stavio </w:t>
      </w:r>
      <w:r w:rsidR="005E0386" w:rsidRPr="005E0386">
        <w:rPr>
          <w:rFonts w:asciiTheme="majorBidi" w:hAnsiTheme="majorBidi" w:cstheme="majorBidi"/>
          <w:sz w:val="24"/>
          <w:szCs w:val="24"/>
        </w:rPr>
        <w:t>Grad</w:t>
      </w:r>
      <w:r w:rsidRPr="005E0386">
        <w:rPr>
          <w:rFonts w:asciiTheme="majorBidi" w:hAnsiTheme="majorBidi" w:cstheme="majorBidi"/>
          <w:sz w:val="24"/>
          <w:szCs w:val="24"/>
        </w:rPr>
        <w:t xml:space="preserve">skom vijeću Odluke o odabiru najpovoljnijih ponuditelja za dodjelu dozvola na pomorskom dobru koju je </w:t>
      </w:r>
      <w:r w:rsidR="005E0386" w:rsidRPr="005E0386">
        <w:rPr>
          <w:rFonts w:asciiTheme="majorBidi" w:hAnsiTheme="majorBidi" w:cstheme="majorBidi"/>
          <w:sz w:val="24"/>
          <w:szCs w:val="24"/>
        </w:rPr>
        <w:t>Grads</w:t>
      </w:r>
      <w:r w:rsidRPr="005E0386">
        <w:rPr>
          <w:rFonts w:asciiTheme="majorBidi" w:hAnsiTheme="majorBidi" w:cstheme="majorBidi"/>
          <w:sz w:val="24"/>
          <w:szCs w:val="24"/>
        </w:rPr>
        <w:t xml:space="preserve">ko vijeće donijelo kao u izreci ove Odluke. </w:t>
      </w:r>
    </w:p>
    <w:p w14:paraId="3727AA6E" w14:textId="76D4C490" w:rsidR="005E0386" w:rsidRDefault="00EB1581" w:rsidP="005C7C9F">
      <w:pPr>
        <w:jc w:val="both"/>
      </w:pPr>
      <w:r w:rsidRPr="005E0386">
        <w:rPr>
          <w:rFonts w:asciiTheme="majorBidi" w:hAnsiTheme="majorBidi" w:cstheme="majorBidi"/>
          <w:sz w:val="24"/>
          <w:szCs w:val="24"/>
        </w:rPr>
        <w:t xml:space="preserve">Temeljem Odluke </w:t>
      </w:r>
      <w:r w:rsidR="005E0386" w:rsidRPr="005E0386">
        <w:rPr>
          <w:rFonts w:asciiTheme="majorBidi" w:hAnsiTheme="majorBidi" w:cstheme="majorBidi"/>
          <w:sz w:val="24"/>
          <w:szCs w:val="24"/>
        </w:rPr>
        <w:t>Grad</w:t>
      </w:r>
      <w:r w:rsidRPr="005E0386">
        <w:rPr>
          <w:rFonts w:asciiTheme="majorBidi" w:hAnsiTheme="majorBidi" w:cstheme="majorBidi"/>
          <w:sz w:val="24"/>
          <w:szCs w:val="24"/>
        </w:rPr>
        <w:t xml:space="preserve">skog vijeća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</w:t>
      </w:r>
      <w:r w:rsidRPr="005E0386">
        <w:rPr>
          <w:rFonts w:asciiTheme="majorBidi" w:hAnsiTheme="majorBidi" w:cstheme="majorBidi"/>
          <w:sz w:val="24"/>
          <w:szCs w:val="24"/>
        </w:rPr>
        <w:t xml:space="preserve"> donosi najpovoljnijim ponuditeljima Rješenje o davanju dozvole za obavljanje djelatnosti na pomorskom dobru</w:t>
      </w:r>
      <w:r>
        <w:t xml:space="preserve">. </w:t>
      </w:r>
    </w:p>
    <w:p w14:paraId="398882A2" w14:textId="77777777" w:rsidR="005E0386" w:rsidRDefault="005E0386" w:rsidP="005C7C9F">
      <w:pPr>
        <w:jc w:val="both"/>
      </w:pPr>
    </w:p>
    <w:p w14:paraId="03F20402" w14:textId="77777777" w:rsidR="005E0386" w:rsidRPr="005C7C9F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C7C9F">
        <w:rPr>
          <w:rFonts w:asciiTheme="majorBidi" w:hAnsiTheme="majorBidi" w:cstheme="majorBidi"/>
          <w:sz w:val="24"/>
          <w:szCs w:val="24"/>
        </w:rPr>
        <w:t xml:space="preserve">Uputa o pravnom lijeku: </w:t>
      </w:r>
    </w:p>
    <w:p w14:paraId="30FFB44B" w14:textId="77777777" w:rsidR="005C7C9F" w:rsidRPr="005C7C9F" w:rsidRDefault="00EB1581" w:rsidP="005C7C9F">
      <w:pPr>
        <w:tabs>
          <w:tab w:val="left" w:pos="6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5C7C9F">
        <w:rPr>
          <w:rFonts w:asciiTheme="majorBidi" w:hAnsiTheme="majorBidi" w:cstheme="majorBidi"/>
          <w:sz w:val="24"/>
          <w:szCs w:val="24"/>
        </w:rPr>
        <w:t xml:space="preserve">Protiv ove Odluke može se izjaviti žalba Ministarstvu mora, prometa i infrastrukture u roku od 15 dana od dana od dana objave u Službenom glasniku </w:t>
      </w:r>
      <w:r w:rsidR="005C7C9F" w:rsidRPr="005C7C9F">
        <w:rPr>
          <w:rFonts w:asciiTheme="majorBidi" w:hAnsiTheme="majorBidi" w:cstheme="majorBidi"/>
          <w:sz w:val="24"/>
          <w:szCs w:val="24"/>
        </w:rPr>
        <w:t>Grada Opuzena</w:t>
      </w:r>
      <w:r w:rsidRPr="005C7C9F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8F0528" w14:textId="77777777" w:rsidR="005C7C9F" w:rsidRPr="00FE5E51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ar-SA"/>
        </w:rPr>
      </w:pPr>
    </w:p>
    <w:p w14:paraId="2F726E03" w14:textId="77777777" w:rsidR="005C7C9F" w:rsidRPr="00FE5E51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ar-SA"/>
        </w:rPr>
      </w:pPr>
    </w:p>
    <w:p w14:paraId="5CB45FBC" w14:textId="79C5AC5D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KLASA:   </w:t>
      </w:r>
    </w:p>
    <w:p w14:paraId="0EC99BDF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URBROJ:  </w:t>
      </w:r>
    </w:p>
    <w:p w14:paraId="676D750E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Opuzen, ____________ 2024. godine</w:t>
      </w:r>
    </w:p>
    <w:p w14:paraId="6D307905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779F93F9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3FFCABAC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5B52B4D5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REPUBLIKA HRVATSKA</w:t>
      </w:r>
    </w:p>
    <w:p w14:paraId="0EF036EF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DUBROVAČKO-NERETVANSKA ŽUPANIJA</w:t>
      </w:r>
    </w:p>
    <w:p w14:paraId="3078235A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 OPUZEN</w:t>
      </w:r>
    </w:p>
    <w:p w14:paraId="0BF0F3D6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GRADSKO VIJEĆE</w:t>
      </w:r>
    </w:p>
    <w:p w14:paraId="35C71ECD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Predsjednik</w:t>
      </w:r>
    </w:p>
    <w:p w14:paraId="32F571F2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0D2111BB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Kristijan Soče</w:t>
      </w:r>
    </w:p>
    <w:p w14:paraId="48B1EAFB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6C9073ED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7CBC35A4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RTimes" w:eastAsia="Times New Roman" w:hAnsi="HRTimes" w:cs="Times New Roman"/>
          <w:sz w:val="24"/>
          <w:szCs w:val="20"/>
          <w:lang w:val="en-US" w:eastAsia="hr-HR" w:bidi="ar-SA"/>
        </w:rPr>
      </w:pPr>
    </w:p>
    <w:p w14:paraId="27FB92A8" w14:textId="5B62E02B" w:rsidR="00EB1581" w:rsidRDefault="00EB1581" w:rsidP="005C7C9F"/>
    <w:sectPr w:rsidR="00EB1581" w:rsidSect="005C7C9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B7679"/>
    <w:multiLevelType w:val="hybridMultilevel"/>
    <w:tmpl w:val="A6188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6B12"/>
    <w:multiLevelType w:val="hybridMultilevel"/>
    <w:tmpl w:val="BE229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939"/>
    <w:multiLevelType w:val="hybridMultilevel"/>
    <w:tmpl w:val="57CEE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5089">
    <w:abstractNumId w:val="1"/>
  </w:num>
  <w:num w:numId="2" w16cid:durableId="1088889233">
    <w:abstractNumId w:val="0"/>
  </w:num>
  <w:num w:numId="3" w16cid:durableId="196819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1"/>
    <w:rsid w:val="000526E8"/>
    <w:rsid w:val="000C56D1"/>
    <w:rsid w:val="00116CCC"/>
    <w:rsid w:val="003C5DB9"/>
    <w:rsid w:val="003D5E8F"/>
    <w:rsid w:val="005C7C9F"/>
    <w:rsid w:val="005E0386"/>
    <w:rsid w:val="00911272"/>
    <w:rsid w:val="00A72025"/>
    <w:rsid w:val="00B13BCB"/>
    <w:rsid w:val="00B879F1"/>
    <w:rsid w:val="00D7477E"/>
    <w:rsid w:val="00E6096B"/>
    <w:rsid w:val="00E77781"/>
    <w:rsid w:val="00EB1581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063"/>
  <w15:chartTrackingRefBased/>
  <w15:docId w15:val="{C71B62FF-04AD-4AD0-B190-5D73950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7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7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7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7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7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7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7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7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7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7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3</cp:revision>
  <cp:lastPrinted>2024-07-18T10:42:00Z</cp:lastPrinted>
  <dcterms:created xsi:type="dcterms:W3CDTF">2024-07-18T10:41:00Z</dcterms:created>
  <dcterms:modified xsi:type="dcterms:W3CDTF">2024-07-18T12:54:00Z</dcterms:modified>
</cp:coreProperties>
</file>