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35F78" w:rsidRDefault="00B76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temelju članka 4. stavka 1. Zakona o sprječavanju sukoba interesa (Narodne novine broj 143/21)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članka 34. Statuta Grada Opuzena („Službeni glasnik Grada Opuzena“, broj: 3/13, 2/18, 2/21 i 3/21 -pročišćeni tekst), Gradsko vijeće Grada Opuzena, na sj</w:t>
      </w:r>
      <w:r>
        <w:rPr>
          <w:rFonts w:ascii="Times New Roman" w:eastAsia="Times New Roman" w:hAnsi="Times New Roman" w:cs="Times New Roman"/>
          <w:sz w:val="24"/>
          <w:szCs w:val="24"/>
        </w:rPr>
        <w:t>ednici održanoj ______________2022. godine, donosi</w:t>
      </w:r>
    </w:p>
    <w:p w14:paraId="00000002" w14:textId="77777777" w:rsidR="00135F78" w:rsidRDefault="00B76A5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ETIČKI KODEKS NOSITELJA POLITIČKIH DUŽNOSTI U GRADU OPUZENU</w:t>
      </w:r>
    </w:p>
    <w:p w14:paraId="00000003" w14:textId="77777777" w:rsidR="00135F78" w:rsidRDefault="00135F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135F78" w:rsidRDefault="00B76A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OPĆE ODREDBE </w:t>
      </w:r>
    </w:p>
    <w:p w14:paraId="00000005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ind w:left="76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Članak 1.</w:t>
      </w:r>
    </w:p>
    <w:p w14:paraId="00000006" w14:textId="77777777" w:rsidR="00135F78" w:rsidRDefault="00B76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Etičkim kodeksom nositelja političkih dužnosti u Gradu Opuzenu (dalje u tekstu: Etički kodeks) uređuje se sprječavan</w:t>
      </w:r>
      <w:r>
        <w:rPr>
          <w:rFonts w:ascii="Times New Roman" w:eastAsia="Times New Roman" w:hAnsi="Times New Roman" w:cs="Times New Roman"/>
          <w:sz w:val="24"/>
          <w:szCs w:val="24"/>
        </w:rPr>
        <w:t>je sukoba interesa između privatnog i javnog interesa u obnašanju dužnosti članova Gradskog vijeća i članova radnih tijela Gradskog vijeća, način praćenja primjene Etičkog kodeksa, tijela koja odlučuju o povredama Etičkog kodeksa te druga pitanja od značaj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za sprječavanje sukoba interesa. </w:t>
      </w:r>
    </w:p>
    <w:p w14:paraId="00000007" w14:textId="77777777" w:rsidR="00135F78" w:rsidRDefault="00B76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Etičkim kodeksom utvrđuju se etička načela i standardi u ponašanju predsjednika, potpredsjednika i članova Gradskog vijeća Grada Opuzena, gradonačelnika Grada Opuzenu, predsjednika i članova radnih tijela Gradskog vi</w:t>
      </w:r>
      <w:r>
        <w:rPr>
          <w:rFonts w:ascii="Times New Roman" w:eastAsia="Times New Roman" w:hAnsi="Times New Roman" w:cs="Times New Roman"/>
          <w:sz w:val="24"/>
          <w:szCs w:val="24"/>
        </w:rPr>
        <w:t>jeća, ravnatelja ustanova i članova upravnih vijeća ustanova kojih je osnivač Grad Opuzen, direktora trgovačkih društva i članova nadzornih odbora u kojima Grad Opuzen ima udjele i članova vijeća mjesnih odbora (dalje u tekstu: nositelji političkih dužnost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i) u obavljanju njihovih dužnosti. </w:t>
      </w:r>
    </w:p>
    <w:p w14:paraId="00000008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ind w:left="76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Članak 2. </w:t>
      </w:r>
    </w:p>
    <w:p w14:paraId="00000009" w14:textId="77777777" w:rsidR="00135F78" w:rsidRDefault="00B76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Svrha Etičkog kodeksa je jačanje integriteta, objektivnosti, nepristranosti i transparentnosti u obnašanju dužnosti nositelja političkih dužnosti, promicanje etičnog ponašanja i vrijednosti koje se zasniva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 na propisima, temeljnim društvenim vrijednostima i široko prihvaćenim dobrim običajima te osiguranje povjerenja građana u nositelje političkih dužnosti na lokalnoj razini. </w:t>
      </w:r>
    </w:p>
    <w:p w14:paraId="0000000A" w14:textId="77777777" w:rsidR="00135F78" w:rsidRDefault="00B76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Cilj Etičkog kodeksa je uspostava primjerene razine odgovornog ponašanja, ko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rektnog odnosa i kulture dijaloga u obnašanju javne dužnosti, s naglaskom na savjesnost, časnost, poštenje, nepristranost, objektivnost i odgovornost u obavljanju dužnosti nositelja političkih dužnosti. </w:t>
      </w:r>
    </w:p>
    <w:p w14:paraId="0000000B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ind w:left="76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Članak 3. </w:t>
      </w:r>
    </w:p>
    <w:p w14:paraId="0000000C" w14:textId="77777777" w:rsidR="00135F78" w:rsidRDefault="00B76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Pojedini pojmovi, u smislu ovog Etičk</w:t>
      </w:r>
      <w:r>
        <w:rPr>
          <w:rFonts w:ascii="Times New Roman" w:eastAsia="Times New Roman" w:hAnsi="Times New Roman" w:cs="Times New Roman"/>
          <w:sz w:val="24"/>
          <w:szCs w:val="24"/>
        </w:rPr>
        <w:t>og kodeksa, imaju sljedeća značenja:</w:t>
      </w:r>
    </w:p>
    <w:p w14:paraId="0000000D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spacing w:after="0"/>
        <w:ind w:left="7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diskriminacija je svako postupanje kojim se neka osoba, izravno ili neizravno, stavlja ili bi mogla biti stavljena u nepovoljniji položaj od druge osobe u usporedivoj situaciji, na temelju rase, nacionalnoga ili socijalnog podrijetla, spola, spolnog op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redjeljenja, dobi, jezika, vjere, političkoga ili drugog opredjeljenja, bračnog stanja, obiteljskih obveza, imovnog stanja, rođenja, društvenog položaja, članstva ili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nečlanstva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političkoj stranci ili sindikatu, tjelesnih ili društvenih poteškoća, kao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temelju privatnih odnosa sa službenikom ili dužnosnikom Grada Opuzena</w:t>
      </w:r>
    </w:p>
    <w:p w14:paraId="0000000E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spacing w:after="0"/>
        <w:ind w:left="7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povezane osobe su bračni ili izvanbračni drug nositelja političke dužnosti, životni partner i neformalni životni partner, njegovi srodnici po krvi u uspravnoj lozi, braća i sestre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posvojitelj i posvojenik te ostale osobe koje se prema drugim osnovama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okolnostima opravdano mogu smatrati interesno povezanima s nositeljem političke dužnosti</w:t>
      </w:r>
    </w:p>
    <w:p w14:paraId="0000000F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spacing w:after="0"/>
        <w:ind w:left="7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 poslovni odnos odnosi se na ugovore o javnoj nabavi, kupoprodaji, pravo služnosti, zakup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najam, koncesije i koncesijska odobrenja, potpore za zapošljavanje i poticanje gospodarstva, stipendije učenicima i studentima, sufinanciranje prava iz programa javnih potreba i druge potpore koje se isplaćuje iz proračuna Grada</w:t>
      </w:r>
    </w:p>
    <w:p w14:paraId="00000010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spacing w:after="0"/>
        <w:ind w:left="7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 potencijalni sukob 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teresa je situacija kada privatni interes nositelja političkih dužnosti može utjecati na nepristranost nositelja političke dužnosti u obavljanju njegove dužnosti </w:t>
      </w:r>
    </w:p>
    <w:p w14:paraId="00000011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spacing w:after="0"/>
        <w:ind w:left="7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stvarni sukob interesa je situacija kada je privatni interes nositelja političkih dužnosti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utjecao ili se osnovano može smatrati da je utjecao na nepristranost nositelja političke dužnosti u obavljanju njegove dužnosti </w:t>
      </w:r>
    </w:p>
    <w:p w14:paraId="00000012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ind w:left="7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uznemiravanje je svako neprimjereno ponašanje prema drugoj osobi koja ima za cilj ili koja stvarno predstavlja povredu osobnog dostojanstva, ometa obavljanje poslova, kao i svaki čin, verbalni, neverbalni ili tjelesni te stvaranje ili pridonošenje stvar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anju neugodnih ili neprijateljskih radnih ili drugih okolnosti koje drugu osobu zastrašuju, vrijeđaju ili ponižavaju, kao i pritisak na osobu koja je odbila uznemiravanje ili spolno uznemiravanje ili ga je prijavila, uključujući spolno uznemiravanje.</w:t>
      </w:r>
    </w:p>
    <w:p w14:paraId="00000013" w14:textId="77777777" w:rsidR="00135F78" w:rsidRDefault="00B76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(2)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Izrazi koji se koriste u ovom Etičkom kodeksu, a imaju rodno značenje, odnose se jednako na muški i ženski rod. </w:t>
      </w:r>
    </w:p>
    <w:p w14:paraId="00000014" w14:textId="77777777" w:rsidR="00135F78" w:rsidRDefault="00135F78">
      <w:pPr>
        <w:pBdr>
          <w:top w:val="nil"/>
          <w:left w:val="nil"/>
          <w:bottom w:val="nil"/>
          <w:right w:val="nil"/>
          <w:between w:val="nil"/>
        </w:pBdr>
        <w:spacing w:after="0"/>
        <w:ind w:left="7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5" w14:textId="77777777" w:rsidR="00135F78" w:rsidRDefault="00B76A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TEMELJNA NAČELA DJELOVANJA </w:t>
      </w:r>
    </w:p>
    <w:p w14:paraId="00000016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ind w:left="76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Članak 4. </w:t>
      </w:r>
    </w:p>
    <w:p w14:paraId="00000017" w14:textId="77777777" w:rsidR="00135F78" w:rsidRDefault="00B76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 Nositelji političkih dužnosti moraju se, u obavljanju javnih dužnosti, pridržavati sljedećih temeljnih načela: </w:t>
      </w:r>
    </w:p>
    <w:p w14:paraId="00000018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spacing w:after="0"/>
        <w:ind w:left="1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zakonitosti i zaštite javnog interesa </w:t>
      </w:r>
    </w:p>
    <w:p w14:paraId="00000019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spacing w:after="0"/>
        <w:ind w:left="1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odanosti lokalnoj zajednici te dužnosti očuvanja i razvijanja povjerenja građana u nositelje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olitičkih dužnosti i institucije gradske vlasti u kojima djeluju </w:t>
      </w:r>
    </w:p>
    <w:p w14:paraId="0000001A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spacing w:after="0"/>
        <w:ind w:left="1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poštovanja integriteta i dostojanstva osobe, zabrane diskriminacije i povlašćivanja te zabrane uznemiravanja </w:t>
      </w:r>
    </w:p>
    <w:p w14:paraId="0000001B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spacing w:after="0"/>
        <w:ind w:left="1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čestitosti i poštenja te izuzetosti iz situacije u kojoj postoji mogućnost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sukoba interesa 5. zabrane zlouporabe ovlasti, zabrane korištenja dužnosti za osobni probitak ili probitak povezane osobe, zabrane korištenja autoriteta dužnosti u obavljanju privatnih poslova, zabrane traženja ili primanja darova radi povoljnog rješavanj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pojedine stvari te zabrane davanja obećanja izvan propisanih ovlasti </w:t>
      </w:r>
    </w:p>
    <w:p w14:paraId="0000001C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spacing w:after="0"/>
        <w:ind w:left="1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konstruktivnog pridonošenja rješavanju javnih pitanja </w:t>
      </w:r>
    </w:p>
    <w:p w14:paraId="0000001D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spacing w:after="0"/>
        <w:ind w:left="1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javnosti rada i dostupnosti građanima </w:t>
      </w:r>
    </w:p>
    <w:p w14:paraId="0000001E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spacing w:after="0"/>
        <w:ind w:left="1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poštovanja posebne javne uloge koju mediji imaju u demokratskom društvu te aktivn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i ne diskriminirajuće suradnje s medijima koji prate rad tijela gradske vlasti </w:t>
      </w:r>
    </w:p>
    <w:p w14:paraId="0000001F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spacing w:after="0"/>
        <w:ind w:left="1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zabrane svjesnog iznošenja neistina </w:t>
      </w:r>
    </w:p>
    <w:p w14:paraId="00000020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spacing w:after="0"/>
        <w:ind w:left="1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iznošenja službenih stavova u skladu s ovlastima </w:t>
      </w:r>
    </w:p>
    <w:p w14:paraId="00000021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spacing w:after="0"/>
        <w:ind w:left="1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pridržavanja pravila rada tijela u koje su izabrani, odnosno imenovani </w:t>
      </w:r>
    </w:p>
    <w:p w14:paraId="00000022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spacing w:after="0"/>
        <w:ind w:left="1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aktivnog sudjelovanja u radu tijela u koje su izabrani, odnosno imenovani </w:t>
      </w:r>
    </w:p>
    <w:p w14:paraId="00000023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spacing w:after="0"/>
        <w:ind w:left="1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13. razvijanja vlastite upućenosti o odlukama u čijem donošenju sudjeluju, korištenjem relevantnih iz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vora informacija, trajnim usavršavanjem i na druge načine </w:t>
      </w:r>
    </w:p>
    <w:p w14:paraId="00000024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spacing w:after="0"/>
        <w:ind w:left="1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prihvaćanja dobrih običaja parlamentarizma te primjerenog komuniciranja, uključujući zabranu uvredljivog govora; </w:t>
      </w:r>
    </w:p>
    <w:p w14:paraId="00000025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spacing w:after="0"/>
        <w:ind w:left="1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 odnosa prema službenicima i namještenicima upravnih odjela Grada koji se 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melji na propisanim pravima, obvezama i odgovornostima obiju strana, isključujući pritom svaki oblik političkog pritiska na upravu koji se u demokratskim društvima smatra neprihvatljivim (primjerice, davanje naloga za protupropisnog postupanja, najava smje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slijedom promjene vlasti i slično) </w:t>
      </w:r>
    </w:p>
    <w:p w14:paraId="00000026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spacing w:after="0"/>
        <w:ind w:left="1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redovitog puta komuniciranja sa službenicima i namještenicima, što uključuje pribavljanje službenih informacija ili obavljanje službenih poslova, putem njihovih pretpostavljenih </w:t>
      </w:r>
    </w:p>
    <w:p w14:paraId="00000027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ind w:left="1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 osobne odgovornosti za svoje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ostupke. </w:t>
      </w:r>
    </w:p>
    <w:p w14:paraId="00000028" w14:textId="77777777" w:rsidR="00135F78" w:rsidRDefault="00B76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Odredba st. 1. točke 3., 4., 9., 10., 14., 16. i 17. ovog članka odnosi se na sve osobe koje je predsjednik Gradskog vijeća pozvao na sjednicu Gradskog vijeća. </w:t>
      </w:r>
    </w:p>
    <w:p w14:paraId="00000029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ind w:left="76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Članak 5. </w:t>
      </w:r>
    </w:p>
    <w:p w14:paraId="0000002A" w14:textId="77777777" w:rsidR="00135F78" w:rsidRDefault="00B76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(1) Od nositelja političkih dužnosti se očekuje poštivanje pravnih propisa i procedura koji se odnose na njihove obveze kao nositelja političkih dužnosti. </w:t>
      </w:r>
    </w:p>
    <w:p w14:paraId="0000002B" w14:textId="77777777" w:rsidR="00135F78" w:rsidRDefault="00B76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Od nositelja političkih dužnosti se očekuje da odgovorno i savjesno ispunjavaju obveze koje pro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izlaze iz političke dužnosti koju obavljaju. </w:t>
      </w:r>
    </w:p>
    <w:p w14:paraId="0000002C" w14:textId="77777777" w:rsidR="00135F78" w:rsidRDefault="00135F78">
      <w:pPr>
        <w:pBdr>
          <w:top w:val="nil"/>
          <w:left w:val="nil"/>
          <w:bottom w:val="nil"/>
          <w:right w:val="nil"/>
          <w:between w:val="nil"/>
        </w:pBdr>
        <w:spacing w:after="0"/>
        <w:ind w:left="76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2D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ind w:left="76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Članak 6. </w:t>
      </w:r>
    </w:p>
    <w:p w14:paraId="0000002E" w14:textId="77777777" w:rsidR="00135F78" w:rsidRDefault="00B76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Građani imaju pravo biti upoznati s ponašanjem nositelja političkih dužnosti koje je u vezi s obnašanjem javne dužnosti. </w:t>
      </w:r>
    </w:p>
    <w:p w14:paraId="0000002F" w14:textId="77777777" w:rsidR="00135F78" w:rsidRDefault="00135F7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135F78" w:rsidRDefault="00B76A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ZABRANJENA DJELOVANJA NOSITELJA POLITIČKIH DUŽNOSTI </w:t>
      </w:r>
    </w:p>
    <w:p w14:paraId="00000031" w14:textId="77777777" w:rsidR="00135F78" w:rsidRDefault="00135F78">
      <w:pPr>
        <w:pBdr>
          <w:top w:val="nil"/>
          <w:left w:val="nil"/>
          <w:bottom w:val="nil"/>
          <w:right w:val="nil"/>
          <w:between w:val="nil"/>
        </w:pBdr>
        <w:spacing w:after="0"/>
        <w:ind w:left="76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32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ind w:left="76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Članak 7. </w:t>
      </w:r>
    </w:p>
    <w:p w14:paraId="00000033" w14:textId="77777777" w:rsidR="00135F78" w:rsidRDefault="00B76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Nositeljim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političkih dužnosti zabranjeno je, radi predlaganja donošenja odluke na Gradskom vijeću ili za glasanje o odluci na sjednici Gradskog vijeća ili sjednici radnog tijela Gradskog vijeća tražiti, prihvatiti ili primiti vrijednost ili uslugu. </w:t>
      </w:r>
    </w:p>
    <w:p w14:paraId="00000034" w14:textId="77777777" w:rsidR="00135F78" w:rsidRDefault="00135F78">
      <w:pPr>
        <w:pBdr>
          <w:top w:val="nil"/>
          <w:left w:val="nil"/>
          <w:bottom w:val="nil"/>
          <w:right w:val="nil"/>
          <w:between w:val="nil"/>
        </w:pBdr>
        <w:spacing w:after="0"/>
        <w:ind w:left="76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35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ind w:left="76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Članak 8. </w:t>
      </w:r>
    </w:p>
    <w:p w14:paraId="00000036" w14:textId="77777777" w:rsidR="00135F78" w:rsidRDefault="00B76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Nositeljima političkih dužnosti zabranjeno je ostvariti ili dobiti pravo ako se krši načelo jednakosti pred zakonom. </w:t>
      </w:r>
    </w:p>
    <w:p w14:paraId="00000037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ind w:left="76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Članak 9. </w:t>
      </w:r>
    </w:p>
    <w:p w14:paraId="00000038" w14:textId="77777777" w:rsidR="00135F78" w:rsidRDefault="00B76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Nositeljima političkih dužnosti zabranjeno je utjecati na donošenje odluke Gradskog vijeća ili odluke radnog tijela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Gradskog vijeća radi osobnog probitka ili probitka povezane osobe. </w:t>
      </w:r>
    </w:p>
    <w:p w14:paraId="00000039" w14:textId="77777777" w:rsidR="00135F78" w:rsidRDefault="00135F78">
      <w:pPr>
        <w:pBdr>
          <w:top w:val="nil"/>
          <w:left w:val="nil"/>
          <w:bottom w:val="nil"/>
          <w:right w:val="nil"/>
          <w:between w:val="nil"/>
        </w:pBdr>
        <w:spacing w:after="0"/>
        <w:ind w:left="7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A" w14:textId="77777777" w:rsidR="00135F78" w:rsidRDefault="00B76A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NESUDJELOVANJE U ODLUČIVANJU </w:t>
      </w:r>
    </w:p>
    <w:p w14:paraId="0000003B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ind w:left="76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Članak 10.</w:t>
      </w:r>
    </w:p>
    <w:p w14:paraId="0000003C" w14:textId="77777777" w:rsidR="00135F78" w:rsidRDefault="00B76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Nositelj političke dužnosti je obvezan izuzeti se od sudjelovanja u donošenju odluke koja utječe na njegov poslovni interes ili poslovni interes s njim povezane osobe. </w:t>
      </w:r>
    </w:p>
    <w:p w14:paraId="0000003D" w14:textId="77777777" w:rsidR="00135F78" w:rsidRDefault="00135F78">
      <w:pPr>
        <w:pBdr>
          <w:top w:val="nil"/>
          <w:left w:val="nil"/>
          <w:bottom w:val="nil"/>
          <w:right w:val="nil"/>
          <w:between w:val="nil"/>
        </w:pBdr>
        <w:spacing w:after="0"/>
        <w:ind w:left="7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E" w14:textId="77777777" w:rsidR="00135F78" w:rsidRDefault="00135F78">
      <w:pPr>
        <w:pBdr>
          <w:top w:val="nil"/>
          <w:left w:val="nil"/>
          <w:bottom w:val="nil"/>
          <w:right w:val="nil"/>
          <w:between w:val="nil"/>
        </w:pBdr>
        <w:spacing w:after="0"/>
        <w:ind w:left="7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F" w14:textId="77777777" w:rsidR="00135F78" w:rsidRDefault="00135F78">
      <w:pPr>
        <w:pBdr>
          <w:top w:val="nil"/>
          <w:left w:val="nil"/>
          <w:bottom w:val="nil"/>
          <w:right w:val="nil"/>
          <w:between w:val="nil"/>
        </w:pBdr>
        <w:spacing w:after="0"/>
        <w:ind w:left="7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0" w14:textId="77777777" w:rsidR="00135F78" w:rsidRDefault="00B76A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TIJELA ZA PRAĆENJE PRIMJENE ETIČKOG KODEKSA </w:t>
      </w:r>
    </w:p>
    <w:p w14:paraId="00000041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ind w:left="76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Članak 11. </w:t>
      </w:r>
    </w:p>
    <w:p w14:paraId="00000042" w14:textId="77777777" w:rsidR="00135F78" w:rsidRDefault="00B76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Primjenu Etičkog kodeks</w:t>
      </w:r>
      <w:r>
        <w:rPr>
          <w:rFonts w:ascii="Times New Roman" w:eastAsia="Times New Roman" w:hAnsi="Times New Roman" w:cs="Times New Roman"/>
          <w:sz w:val="24"/>
          <w:szCs w:val="24"/>
        </w:rPr>
        <w:t>a prate Etički odbor i Vijeće časti.</w:t>
      </w:r>
    </w:p>
    <w:p w14:paraId="00000043" w14:textId="77777777" w:rsidR="00135F78" w:rsidRDefault="00B76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Etički odbor čine predsjednik i dva člana, a Vijeće časti predsjednik i četiri člana. </w:t>
      </w:r>
    </w:p>
    <w:p w14:paraId="00000044" w14:textId="77777777" w:rsidR="00135F78" w:rsidRDefault="00B76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Predsjednika i članove Etičkog odbora i Vijeća časti imenuje i razrješuje Gradsko vijeće. </w:t>
      </w:r>
    </w:p>
    <w:p w14:paraId="00000045" w14:textId="77777777" w:rsidR="00135F78" w:rsidRDefault="00B76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Mandat predsjednika i članova Etičkog odbora i Vijeća časti traje do isteka mandata članova Gradskog vijeća. </w:t>
      </w:r>
    </w:p>
    <w:p w14:paraId="00000046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ind w:left="76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Članak 12.</w:t>
      </w:r>
    </w:p>
    <w:p w14:paraId="00000047" w14:textId="77777777" w:rsidR="00135F78" w:rsidRDefault="00B76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Predsjednik Etičkoga odbora imenuje se iz reda osoba nedvojbenoga javnog ugleda u lokalnoj zajednici i ne može biti nositelj po</w:t>
      </w:r>
      <w:r>
        <w:rPr>
          <w:rFonts w:ascii="Times New Roman" w:eastAsia="Times New Roman" w:hAnsi="Times New Roman" w:cs="Times New Roman"/>
          <w:sz w:val="24"/>
          <w:szCs w:val="24"/>
        </w:rPr>
        <w:t>litičke dužnosti, niti član političke stranke, odnosno kandidat nezavisne liste zastupljene u Gradskom vijeću.</w:t>
      </w:r>
    </w:p>
    <w:p w14:paraId="00000048" w14:textId="77777777" w:rsidR="00135F78" w:rsidRDefault="00B76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(2) Članovi Etičkoga odbora imenuju se iz reda vijećnika Gradskog vijeća, po jedan član iz vlasti i oporbe. </w:t>
      </w:r>
    </w:p>
    <w:p w14:paraId="00000049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ind w:left="76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Članak 13. </w:t>
      </w:r>
    </w:p>
    <w:p w14:paraId="0000004A" w14:textId="77777777" w:rsidR="00135F78" w:rsidRDefault="00B76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Predsjednik i člano</w:t>
      </w:r>
      <w:r>
        <w:rPr>
          <w:rFonts w:ascii="Times New Roman" w:eastAsia="Times New Roman" w:hAnsi="Times New Roman" w:cs="Times New Roman"/>
          <w:sz w:val="24"/>
          <w:szCs w:val="24"/>
        </w:rPr>
        <w:t>vi Vijeća časti imenuju se iz reda osoba nedvojbenoga javnog ugleda u lokalnoj zajednici.</w:t>
      </w:r>
    </w:p>
    <w:p w14:paraId="0000004B" w14:textId="77777777" w:rsidR="00135F78" w:rsidRDefault="00B76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(2) Predsjednik Vijeća časti ne može biti nositelj političke dužnosti, niti član političke stranke, odnosno kandidat nezavisne liste zastupljene u Gradskom vijeću. </w:t>
      </w:r>
    </w:p>
    <w:p w14:paraId="0000004C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ind w:left="76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Članak 14. </w:t>
      </w:r>
    </w:p>
    <w:p w14:paraId="0000004D" w14:textId="77777777" w:rsidR="00135F78" w:rsidRDefault="00B76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Etički odbor pokreće postupak na vlastitu inicijativu, po prijavi člana Gradskog vijeća, člana radnog tijela Gradskog vijeća, radnog tijela Gradskog vijeća, gradonačelnika i zamjenika gradonačelnika, službenika upravnog tijela Grada Opuzenu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ili po prijavi građana. </w:t>
      </w:r>
    </w:p>
    <w:p w14:paraId="0000004E" w14:textId="77777777" w:rsidR="00135F78" w:rsidRDefault="00B76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Pisana prijava sadrži ime, prezime, OIB i vlastoručni potpis prijavitelja, ime i prezime nositelja političke dužnosti koji se prijavljuje za povredu odredaba Etičkog kodeksa uz navođenje odredbe Etičkog kodeksa koja je povrije</w:t>
      </w:r>
      <w:r>
        <w:rPr>
          <w:rFonts w:ascii="Times New Roman" w:eastAsia="Times New Roman" w:hAnsi="Times New Roman" w:cs="Times New Roman"/>
          <w:sz w:val="24"/>
          <w:szCs w:val="24"/>
        </w:rPr>
        <w:t>đena. Etički odbor ne postupa po anonimnim prijavama.</w:t>
      </w:r>
    </w:p>
    <w:p w14:paraId="0000004F" w14:textId="77777777" w:rsidR="00135F78" w:rsidRDefault="00B76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Etički odbor može od podnositelja prijave zatražiti dopunu prijave odnosno dodatna pojašnjenja i očitovanja ukoliko ocijeni da je to potrebno radi donošenja odluke. </w:t>
      </w:r>
    </w:p>
    <w:p w14:paraId="00000050" w14:textId="77777777" w:rsidR="00135F78" w:rsidRDefault="00135F78">
      <w:pPr>
        <w:pBdr>
          <w:top w:val="nil"/>
          <w:left w:val="nil"/>
          <w:bottom w:val="nil"/>
          <w:right w:val="nil"/>
          <w:between w:val="nil"/>
        </w:pBdr>
        <w:spacing w:after="0"/>
        <w:ind w:left="76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51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ind w:left="76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Članak 15. </w:t>
      </w:r>
    </w:p>
    <w:p w14:paraId="00000052" w14:textId="77777777" w:rsidR="00135F78" w:rsidRDefault="00B76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Etički odbor ob</w:t>
      </w:r>
      <w:r>
        <w:rPr>
          <w:rFonts w:ascii="Times New Roman" w:eastAsia="Times New Roman" w:hAnsi="Times New Roman" w:cs="Times New Roman"/>
          <w:sz w:val="24"/>
          <w:szCs w:val="24"/>
        </w:rPr>
        <w:t>avještava nositelja političke dužnosti da je protiv njega podnesena prijava i poziva ga da u roku od 15 dana od dana primitka obavijesti Etičkog odbora dostavi pisano očitovanje o navodima iz prijave.</w:t>
      </w:r>
    </w:p>
    <w:p w14:paraId="00000053" w14:textId="77777777" w:rsidR="00135F78" w:rsidRDefault="00B76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Ako nositelj političke dužnosti ne dostavi pisano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čitovanje u roku iz stavka 1. ovog članka, Etički odbor nastavlja s vođenjem postupka po prijavi. </w:t>
      </w:r>
    </w:p>
    <w:p w14:paraId="00000054" w14:textId="77777777" w:rsidR="00135F78" w:rsidRDefault="00B76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Etički odbor donosi odluke na sjednici većinom glasova. </w:t>
      </w:r>
    </w:p>
    <w:p w14:paraId="00000055" w14:textId="77777777" w:rsidR="00135F78" w:rsidRDefault="00135F78">
      <w:pPr>
        <w:pBdr>
          <w:top w:val="nil"/>
          <w:left w:val="nil"/>
          <w:bottom w:val="nil"/>
          <w:right w:val="nil"/>
          <w:between w:val="nil"/>
        </w:pBdr>
        <w:spacing w:after="0"/>
        <w:ind w:left="76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56" w14:textId="77777777" w:rsidR="00135F78" w:rsidRDefault="00135F78">
      <w:pPr>
        <w:pBdr>
          <w:top w:val="nil"/>
          <w:left w:val="nil"/>
          <w:bottom w:val="nil"/>
          <w:right w:val="nil"/>
          <w:between w:val="nil"/>
        </w:pBdr>
        <w:spacing w:after="0"/>
        <w:ind w:left="76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57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ind w:left="76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Članak 16.</w:t>
      </w:r>
    </w:p>
    <w:p w14:paraId="00000058" w14:textId="77777777" w:rsidR="00135F78" w:rsidRDefault="00B76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(1) Etički odbor u roku od 60 dana od zaprimanja prijave predlaže Gradskom vijeću donošenje odluke po zaprimljenoj prijavi. </w:t>
      </w:r>
    </w:p>
    <w:p w14:paraId="00000059" w14:textId="77777777" w:rsidR="00135F78" w:rsidRDefault="00B76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Ako je prijava podnesena protiv člana Etičkog odbora, taj član ne sudjeluje u postupku po prijavi i u odlučivanju. </w:t>
      </w:r>
    </w:p>
    <w:p w14:paraId="0000005A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ind w:left="76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Članak 17.</w:t>
      </w:r>
    </w:p>
    <w:p w14:paraId="0000005B" w14:textId="77777777" w:rsidR="00135F78" w:rsidRDefault="00B76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(1) Za povredu odredbi Etičkog kodeksa Gradsko vijeće može izreći opomenu, upozorenje ili preporuku nositelju političke dužnosti za otklanjanje uzroka postojanja sukoba interesa odnosno za usklađivanje načina djelovanja nositelja političke dužnosti s odr</w:t>
      </w:r>
      <w:r>
        <w:rPr>
          <w:rFonts w:ascii="Times New Roman" w:eastAsia="Times New Roman" w:hAnsi="Times New Roman" w:cs="Times New Roman"/>
          <w:sz w:val="24"/>
          <w:szCs w:val="24"/>
        </w:rPr>
        <w:t>edbama Etičkog kodeksa.</w:t>
      </w:r>
    </w:p>
    <w:p w14:paraId="0000005C" w14:textId="77777777" w:rsidR="00135F78" w:rsidRDefault="00B76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Protiv odluke Gradskog vijeća, kojom je izrečena sankcija iz stavka 1. ovog članka, nositelj političke dužnosti može u roku od 8 dana od dana primitka odluke podnijeti pisani prigovor Vijeću časti. </w:t>
      </w:r>
    </w:p>
    <w:p w14:paraId="0000005D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ind w:left="76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Članak 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5E" w14:textId="77777777" w:rsidR="00135F78" w:rsidRDefault="00B76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Vijeće časti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onosi odluku na sjednici, većinom glasova svih članova u roku od 15 dana od dana zaprimanja podnesenog prigovora. </w:t>
      </w:r>
    </w:p>
    <w:p w14:paraId="0000005F" w14:textId="77777777" w:rsidR="00135F78" w:rsidRDefault="00B76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Odlučujući o prigovoru nositelja političke dužnosti, Vijeće časti može prigovor odbiti i potvrditi odluku Gradskog vijeća, može uvažiti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rigovor i preinačiti ili poništiti odluku Gradskog vijeća te vratiti prijavu Etičkom odboru na ponovno odlučivanje. </w:t>
      </w:r>
    </w:p>
    <w:p w14:paraId="00000060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ind w:left="76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Članak 19. </w:t>
      </w:r>
    </w:p>
    <w:p w14:paraId="00000061" w14:textId="77777777" w:rsidR="00135F78" w:rsidRDefault="00B76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Na način rada Etičkog odbora i Vijeća časti primjenjuju se odredbe odluke o osnivanju i načinu rada radnih tijela Gradskog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vijeća Grada Opuzena. </w:t>
      </w:r>
    </w:p>
    <w:p w14:paraId="00000062" w14:textId="77777777" w:rsidR="00135F78" w:rsidRDefault="00B76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Predsjednik i članovi Etičkog odbora i Vijeća časti ostvaruju pravo na naknadu za rad i druga primanja sukladno odluci o naknadi i drugim primanjima članova Gradskog vijeća i radnih tijela Gradskog vijeća.</w:t>
      </w:r>
    </w:p>
    <w:p w14:paraId="00000063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ind w:left="76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Članak 20. </w:t>
      </w:r>
    </w:p>
    <w:p w14:paraId="00000064" w14:textId="77777777" w:rsidR="00135F78" w:rsidRDefault="00B76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Odluke Eti</w:t>
      </w:r>
      <w:r>
        <w:rPr>
          <w:rFonts w:ascii="Times New Roman" w:eastAsia="Times New Roman" w:hAnsi="Times New Roman" w:cs="Times New Roman"/>
          <w:sz w:val="24"/>
          <w:szCs w:val="24"/>
        </w:rPr>
        <w:t>čkog odbora i Vijeća časti objavljuju se u Službenom glasniku Grada Opuzena i na mrežnoj stranici Grada Opuzena.</w:t>
      </w:r>
    </w:p>
    <w:p w14:paraId="00000065" w14:textId="77777777" w:rsidR="00135F78" w:rsidRDefault="00B76A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 ZAVRŠNE ODREDBE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66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ind w:left="76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Članak 21.</w:t>
      </w:r>
    </w:p>
    <w:p w14:paraId="00000067" w14:textId="77777777" w:rsidR="00135F78" w:rsidRDefault="00B76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Ovaj Etički kodeks stupa na snagu osmog dana nakon objave u Službenom glasniku Grada Opuzena.</w:t>
      </w:r>
    </w:p>
    <w:p w14:paraId="00000068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spacing w:after="0"/>
        <w:ind w:left="7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KLASA: 710-01/22-01/01 </w:t>
      </w:r>
    </w:p>
    <w:p w14:paraId="00000069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spacing w:after="0"/>
        <w:ind w:left="7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URBROJ: 2117-11-2-22-1 </w:t>
      </w:r>
    </w:p>
    <w:p w14:paraId="0000006A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spacing w:after="0"/>
        <w:ind w:left="7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Opuzen, _________________2022. godine</w:t>
      </w:r>
    </w:p>
    <w:p w14:paraId="0000006B" w14:textId="77777777" w:rsidR="00135F78" w:rsidRDefault="00135F78">
      <w:pPr>
        <w:pBdr>
          <w:top w:val="nil"/>
          <w:left w:val="nil"/>
          <w:bottom w:val="nil"/>
          <w:right w:val="nil"/>
          <w:between w:val="nil"/>
        </w:pBdr>
        <w:spacing w:after="0"/>
        <w:ind w:left="7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C" w14:textId="77777777" w:rsidR="00135F78" w:rsidRDefault="00135F78">
      <w:pPr>
        <w:pBdr>
          <w:top w:val="nil"/>
          <w:left w:val="nil"/>
          <w:bottom w:val="nil"/>
          <w:right w:val="nil"/>
          <w:between w:val="nil"/>
        </w:pBdr>
        <w:spacing w:after="0"/>
        <w:ind w:left="7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D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spacing w:after="0"/>
        <w:ind w:left="49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GRADSKO VIJEĆE GRADA OPUZENA</w:t>
      </w:r>
    </w:p>
    <w:p w14:paraId="0000006E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spacing w:after="0"/>
        <w:ind w:left="49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Predsjednik </w:t>
      </w:r>
    </w:p>
    <w:p w14:paraId="0000006F" w14:textId="77777777" w:rsidR="00135F78" w:rsidRDefault="00135F78">
      <w:pPr>
        <w:pBdr>
          <w:top w:val="nil"/>
          <w:left w:val="nil"/>
          <w:bottom w:val="nil"/>
          <w:right w:val="nil"/>
          <w:between w:val="nil"/>
        </w:pBdr>
        <w:spacing w:after="0"/>
        <w:ind w:left="49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70" w14:textId="77777777" w:rsidR="00135F78" w:rsidRDefault="00B76A52">
      <w:pPr>
        <w:pBdr>
          <w:top w:val="nil"/>
          <w:left w:val="nil"/>
          <w:bottom w:val="nil"/>
          <w:right w:val="nil"/>
          <w:between w:val="nil"/>
        </w:pBdr>
        <w:ind w:left="49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Jure Stanić</w:t>
      </w:r>
    </w:p>
    <w:sectPr w:rsidR="00135F78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725B0"/>
    <w:multiLevelType w:val="multilevel"/>
    <w:tmpl w:val="FF5ACC06"/>
    <w:lvl w:ilvl="0">
      <w:start w:val="1"/>
      <w:numFmt w:val="upperRoman"/>
      <w:lvlText w:val="%1."/>
      <w:lvlJc w:val="left"/>
      <w:pPr>
        <w:ind w:left="765" w:hanging="72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F78"/>
    <w:rsid w:val="00135F78"/>
    <w:rsid w:val="00B7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52EFC3-7FCA-4D20-8CFB-A3F350FE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lomakpopisa">
    <w:name w:val="List Paragraph"/>
    <w:basedOn w:val="Normal"/>
    <w:uiPriority w:val="34"/>
    <w:qFormat/>
    <w:rsid w:val="00A75D08"/>
    <w:pPr>
      <w:ind w:left="720"/>
      <w:contextualSpacing/>
    </w:p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RjPxpNl2Jsoe26+Fse4gDbsiug==">AMUW2mVgvtreqtOWh5J9U7F7+mZpUbHxcq8IrYWmMJCfkzqgqkTQ59FALqYUVaJ11EasZxPOzLoxwvqO5fLIdx6ALeV+t9TC4/6/GYWQ2Wx9j6xtrTgcsK8=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1837</Words>
  <Characters>10471</Characters>
  <Application>Microsoft Office Word</Application>
  <DocSecurity>0</DocSecurity>
  <Lines>87</Lines>
  <Paragraphs>24</Paragraphs>
  <ScaleCrop>false</ScaleCrop>
  <Company/>
  <LinksUpToDate>false</LinksUpToDate>
  <CharactersWithSpaces>12284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Opuzen</dc:creator>
  <cp:lastModifiedBy>Ivona Topić Ćerlek</cp:lastModifiedBy>
  <cp:revision>2</cp:revision>
  <dcterms:created xsi:type="dcterms:W3CDTF">2022-11-22T09:03:00Z</dcterms:created>
  <dcterms:modified xsi:type="dcterms:W3CDTF">2022-11-22T09:03:00Z</dcterms:modified>
</cp:coreProperties>
</file>